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FFF3" w14:textId="77777777" w:rsidR="00E960B0" w:rsidRDefault="00F166F5">
      <w:pPr>
        <w:pStyle w:val="ArticleTitle"/>
      </w:pPr>
      <w:r>
        <w:t>THIS IS THE TITLE OF MY PAPER</w:t>
      </w:r>
    </w:p>
    <w:p w14:paraId="11A9D849" w14:textId="77777777" w:rsidR="00E960B0" w:rsidRDefault="00E960B0">
      <w:pPr>
        <w:pStyle w:val="Body"/>
      </w:pPr>
    </w:p>
    <w:p w14:paraId="3BDB2C2E" w14:textId="77777777" w:rsidR="00E960B0" w:rsidRDefault="00F166F5">
      <w:pPr>
        <w:pStyle w:val="AuthorName"/>
      </w:pPr>
      <w:r>
        <w:t>NAME OF MAIN AUTHOR</w:t>
      </w:r>
    </w:p>
    <w:p w14:paraId="623ABB5F" w14:textId="77777777" w:rsidR="00E960B0" w:rsidRDefault="00F166F5">
      <w:pPr>
        <w:pStyle w:val="AuthorAffiliation"/>
      </w:pPr>
      <w:r>
        <w:t>Affiliation of main author</w:t>
      </w:r>
    </w:p>
    <w:p w14:paraId="0233237A" w14:textId="77777777" w:rsidR="00E960B0" w:rsidRDefault="00F166F5">
      <w:pPr>
        <w:pStyle w:val="AuthorEmail"/>
      </w:pPr>
      <w:r>
        <w:t>email@mainauthor.com</w:t>
      </w:r>
    </w:p>
    <w:p w14:paraId="7EE4AB60" w14:textId="77777777" w:rsidR="00E960B0" w:rsidRDefault="00E960B0">
      <w:pPr>
        <w:pStyle w:val="Body"/>
      </w:pPr>
    </w:p>
    <w:p w14:paraId="258F7A97" w14:textId="77777777" w:rsidR="00E960B0" w:rsidRDefault="00F166F5">
      <w:pPr>
        <w:pStyle w:val="AuthorName"/>
      </w:pPr>
      <w:r>
        <w:t>NAME OF NEXT AUTHOR</w:t>
      </w:r>
    </w:p>
    <w:p w14:paraId="0C5EAEE0" w14:textId="77777777" w:rsidR="00E960B0" w:rsidRDefault="00F166F5">
      <w:pPr>
        <w:pStyle w:val="AuthorAffiliation"/>
      </w:pPr>
      <w:r>
        <w:t>Affiliation of next author</w:t>
      </w:r>
    </w:p>
    <w:p w14:paraId="27678DCF" w14:textId="77777777" w:rsidR="00E960B0" w:rsidRDefault="00F166F5">
      <w:pPr>
        <w:pStyle w:val="AuthorEmail"/>
      </w:pPr>
      <w:r>
        <w:t>email@nextauthor.com</w:t>
      </w:r>
    </w:p>
    <w:p w14:paraId="4AB80E26" w14:textId="47D45846" w:rsidR="00E960B0" w:rsidRDefault="00E960B0">
      <w:pPr>
        <w:pStyle w:val="Body"/>
      </w:pPr>
    </w:p>
    <w:p w14:paraId="384B46E1" w14:textId="77777777" w:rsidR="00204BA3" w:rsidRDefault="00204BA3">
      <w:pPr>
        <w:pStyle w:val="Body"/>
      </w:pPr>
    </w:p>
    <w:p w14:paraId="12039A61" w14:textId="77777777" w:rsidR="00E960B0" w:rsidRDefault="00F166F5">
      <w:pPr>
        <w:pStyle w:val="AbstractTitle"/>
      </w:pPr>
      <w:r>
        <w:t>ABSTRACT</w:t>
      </w:r>
    </w:p>
    <w:p w14:paraId="2F463529" w14:textId="77777777" w:rsidR="00E960B0" w:rsidRDefault="00E960B0">
      <w:pPr>
        <w:pStyle w:val="Body"/>
      </w:pPr>
    </w:p>
    <w:p w14:paraId="33722908" w14:textId="4D47AD60" w:rsidR="00E960B0" w:rsidRDefault="00F166F5" w:rsidP="006869A6">
      <w:pPr>
        <w:pStyle w:val="AbstractBody"/>
        <w:ind w:firstLine="0"/>
        <w:rPr>
          <w:b/>
        </w:rPr>
      </w:pPr>
      <w:r>
        <w:t>This is my abstract. This abstract should be 120 words maximum. This is my abstract. This abstract should be 120 words maximum This is my abstract. This abstract should be 120 words maximum This is my abstract. This abstract should be 120 words maximum This is my abstract. This abstract should be 120 words maximum This is my abstract. This abstract should be 120 words maximum This is my abstract. This abstract should be 120 words maximum</w:t>
      </w:r>
      <w:r w:rsidR="00204BA3">
        <w:t>.</w:t>
      </w:r>
      <w:r>
        <w:t xml:space="preserve"> This is my abstract. This abstract should be 120 words maximum This is my abstract. This abstract should be 120 words maximum This is my abstract.</w:t>
      </w:r>
      <w:r w:rsidR="00204BA3">
        <w:t xml:space="preserve"> Citations are not included in the abstract.</w:t>
      </w:r>
    </w:p>
    <w:p w14:paraId="3D9CE828" w14:textId="77777777" w:rsidR="00E960B0" w:rsidRDefault="00E960B0">
      <w:pPr>
        <w:pStyle w:val="Body"/>
      </w:pPr>
    </w:p>
    <w:p w14:paraId="47830E9D" w14:textId="77777777" w:rsidR="00E960B0" w:rsidRDefault="00F166F5">
      <w:pPr>
        <w:pStyle w:val="KeywordsTitle"/>
        <w:rPr>
          <w:rFonts w:ascii="Arial" w:hAnsi="Arial"/>
          <w:i w:val="0"/>
          <w:sz w:val="24"/>
        </w:rPr>
      </w:pPr>
      <w:r>
        <w:t>Keywords:</w:t>
      </w:r>
      <w:r>
        <w:rPr>
          <w:rFonts w:ascii="Arial" w:hAnsi="Arial"/>
          <w:i w:val="0"/>
          <w:sz w:val="24"/>
        </w:rPr>
        <w:t xml:space="preserve"> </w:t>
      </w:r>
      <w:r>
        <w:rPr>
          <w:b w:val="0"/>
        </w:rPr>
        <w:t>Statistics education research; Keyword/keyword phrase 2; Keyword/keyword phrase 3; Keyword/keyword phrase 4</w:t>
      </w:r>
    </w:p>
    <w:p w14:paraId="09D46CD6" w14:textId="77777777" w:rsidR="00E960B0" w:rsidRDefault="00E960B0">
      <w:pPr>
        <w:pStyle w:val="Body"/>
      </w:pPr>
    </w:p>
    <w:p w14:paraId="35601261" w14:textId="77777777" w:rsidR="00E960B0" w:rsidRDefault="00F166F5">
      <w:pPr>
        <w:pStyle w:val="SectionHeading"/>
      </w:pPr>
      <w:r>
        <w:t>TITLE OF FIRST SECTION</w:t>
      </w:r>
    </w:p>
    <w:p w14:paraId="41ADD566" w14:textId="77777777" w:rsidR="00E960B0" w:rsidRDefault="00E960B0">
      <w:pPr>
        <w:pStyle w:val="Body"/>
      </w:pPr>
    </w:p>
    <w:p w14:paraId="44E092CE" w14:textId="77777777" w:rsidR="00E960B0" w:rsidRDefault="006869A6">
      <w:pPr>
        <w:pStyle w:val="SubSectionHeading"/>
      </w:pPr>
      <w:r>
        <w:t xml:space="preserve"> </w:t>
      </w:r>
      <w:r w:rsidR="00F166F5">
        <w:t>Title of subsection (if have subsections in this section)</w:t>
      </w:r>
    </w:p>
    <w:p w14:paraId="766CC020" w14:textId="77777777" w:rsidR="00E960B0" w:rsidRDefault="00E960B0">
      <w:pPr>
        <w:pStyle w:val="Body"/>
      </w:pPr>
    </w:p>
    <w:p w14:paraId="45137CEB" w14:textId="77777777" w:rsidR="00E960B0" w:rsidRDefault="00F166F5">
      <w:pPr>
        <w:pStyle w:val="Body"/>
      </w:pPr>
      <w:r>
        <w:t>This is the first paragraph after the subsection heading and so there is a blank line before it. This is the first paragraph after the subsection heading and so there is a blank line before it. This is the first paragraph after the subsection heading and so there is a blank line before it.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17AC0F6D" w14:textId="77777777" w:rsidR="00E960B0" w:rsidRDefault="00F166F5">
      <w:pPr>
        <w:pStyle w:val="Body"/>
      </w:pPr>
      <w:r>
        <w:t>This is the second paragraph and so there is not a blank line before it. This is the second paragraph and so there is not a blank line before it. This is the second paragraph and so there is not a blank line before it.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3ED88A16" w14:textId="77777777" w:rsidR="00E960B0" w:rsidRDefault="00E960B0">
      <w:pPr>
        <w:pStyle w:val="Body"/>
      </w:pPr>
    </w:p>
    <w:p w14:paraId="14363E65" w14:textId="77777777" w:rsidR="00E960B0" w:rsidRDefault="00F166F5">
      <w:pPr>
        <w:pStyle w:val="Body"/>
      </w:pPr>
      <w:r>
        <w:rPr>
          <w:b/>
          <w:i/>
        </w:rPr>
        <w:t>Title of subsubsection</w:t>
      </w:r>
      <w:r>
        <w:t xml:space="preserve"> </w:t>
      </w:r>
      <w:r>
        <w:rPr>
          <w:b/>
          <w:i/>
        </w:rPr>
        <w:t>(If any)</w:t>
      </w:r>
      <w:r>
        <w:t xml:space="preserve"> This is the first paragraph of a subsubsection and so there is blank line before it. This is the first paragraph of a subsubsection and so there is blank line before it. This is the first paragraph of a subsubsection and so there is blank line before it.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0004585A" w14:textId="77777777" w:rsidR="00E960B0" w:rsidRDefault="00E960B0">
      <w:pPr>
        <w:pStyle w:val="Body"/>
      </w:pPr>
    </w:p>
    <w:p w14:paraId="41BE15E4" w14:textId="77777777" w:rsidR="00E960B0" w:rsidRDefault="006869A6">
      <w:pPr>
        <w:pStyle w:val="SubSectionHeading"/>
      </w:pPr>
      <w:r>
        <w:lastRenderedPageBreak/>
        <w:t xml:space="preserve"> </w:t>
      </w:r>
      <w:r w:rsidR="00F166F5">
        <w:t>Title of subsection  (if have subsections in this section)</w:t>
      </w:r>
    </w:p>
    <w:p w14:paraId="345A9137" w14:textId="77777777" w:rsidR="00E960B0" w:rsidRDefault="00E960B0">
      <w:pPr>
        <w:pStyle w:val="Body"/>
      </w:pPr>
    </w:p>
    <w:p w14:paraId="1181B3F7" w14:textId="77777777" w:rsidR="00E960B0" w:rsidRDefault="00F166F5">
      <w:pPr>
        <w:pStyle w:val="Body"/>
      </w:pPr>
      <w:r>
        <w:t>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37E1BB0F" w14:textId="77777777" w:rsidR="00E960B0" w:rsidRDefault="00F166F5">
      <w:pPr>
        <w:pStyle w:val="Body"/>
      </w:pPr>
      <w:r>
        <w:t>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69D20E5B" w14:textId="77777777" w:rsidR="00E960B0" w:rsidRDefault="00E960B0">
      <w:pPr>
        <w:pStyle w:val="Body"/>
      </w:pPr>
    </w:p>
    <w:p w14:paraId="3A7DA614" w14:textId="77777777" w:rsidR="00E960B0" w:rsidRDefault="00F166F5">
      <w:pPr>
        <w:pStyle w:val="SectionHeading"/>
      </w:pPr>
      <w:r>
        <w:t>TITLE OF SECOND SECTION</w:t>
      </w:r>
    </w:p>
    <w:p w14:paraId="01593220" w14:textId="77777777" w:rsidR="00E960B0" w:rsidRDefault="00E960B0">
      <w:pPr>
        <w:pStyle w:val="Body"/>
      </w:pPr>
    </w:p>
    <w:p w14:paraId="55E49578" w14:textId="77777777" w:rsidR="00E960B0" w:rsidRDefault="00F166F5">
      <w:pPr>
        <w:pStyle w:val="SubSectionHeading"/>
      </w:pPr>
      <w:r>
        <w:t xml:space="preserve"> Title of subsection  (if have subsection)</w:t>
      </w:r>
    </w:p>
    <w:p w14:paraId="3D46FE01" w14:textId="77777777" w:rsidR="00E960B0" w:rsidRDefault="00E960B0">
      <w:pPr>
        <w:pStyle w:val="Body"/>
      </w:pPr>
    </w:p>
    <w:p w14:paraId="678B3065" w14:textId="77777777" w:rsidR="00E960B0" w:rsidRDefault="00F166F5">
      <w:pPr>
        <w:pStyle w:val="Body"/>
      </w:pPr>
      <w:r>
        <w:t>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61CC9032" w14:textId="77777777" w:rsidR="00E960B0" w:rsidRDefault="00000000">
      <w:pPr>
        <w:pStyle w:val="Body"/>
      </w:pPr>
      <w:r>
        <w:object w:dxaOrig="1440" w:dyaOrig="1440" w14:anchorId="67C28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0.15pt;margin-top:-.15pt;width:77.25pt;height:36.75pt;z-index:251657728;mso-wrap-edited:f;mso-width-percent:0;mso-height-percent:0;mso-width-percent:0;mso-height-percent:0" fillcolor="window">
            <v:imagedata r:id="rId7" o:title=""/>
            <w10:wrap type="square"/>
          </v:shape>
          <o:OLEObject Type="Embed" ProgID="Equation.3" ShapeID="_x0000_s2050" DrawAspect="Content" ObjectID="_1727901976" r:id="rId8"/>
        </w:object>
      </w:r>
    </w:p>
    <w:p w14:paraId="7FC4B184" w14:textId="77777777" w:rsidR="00E960B0" w:rsidRDefault="00F166F5">
      <w:pPr>
        <w:pStyle w:val="Body"/>
      </w:pPr>
      <w:r>
        <w:t>(1)</w:t>
      </w:r>
    </w:p>
    <w:p w14:paraId="37DB0F9D" w14:textId="77777777" w:rsidR="00E960B0" w:rsidRDefault="00E960B0">
      <w:pPr>
        <w:pStyle w:val="Body"/>
      </w:pPr>
    </w:p>
    <w:p w14:paraId="69F2BAD9" w14:textId="77777777" w:rsidR="00E960B0" w:rsidRDefault="00F166F5">
      <w:pPr>
        <w:pStyle w:val="Body"/>
      </w:pPr>
      <w:r>
        <w:t>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1FF6F53E" w14:textId="77777777" w:rsidR="00E960B0" w:rsidRDefault="00E960B0">
      <w:pPr>
        <w:pStyle w:val="Body"/>
        <w:ind w:firstLine="0"/>
      </w:pPr>
    </w:p>
    <w:p w14:paraId="602B2044" w14:textId="77777777" w:rsidR="00E960B0" w:rsidRDefault="006869A6">
      <w:pPr>
        <w:pStyle w:val="SubSectionHeading"/>
      </w:pPr>
      <w:r>
        <w:t xml:space="preserve"> </w:t>
      </w:r>
      <w:r w:rsidR="00F166F5">
        <w:t>Title of subsection  (if have subsection)</w:t>
      </w:r>
    </w:p>
    <w:p w14:paraId="7181BB40" w14:textId="77777777" w:rsidR="00E960B0" w:rsidRDefault="00E960B0">
      <w:pPr>
        <w:pStyle w:val="Body"/>
      </w:pPr>
    </w:p>
    <w:p w14:paraId="18F96B55" w14:textId="77777777" w:rsidR="00E960B0" w:rsidRDefault="00F166F5">
      <w:pPr>
        <w:pStyle w:val="Body"/>
      </w:pPr>
      <w:r>
        <w:t>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339750B4" w14:textId="77777777" w:rsidR="00E960B0" w:rsidRDefault="00E960B0">
      <w:pPr>
        <w:pStyle w:val="Body"/>
      </w:pPr>
    </w:p>
    <w:p w14:paraId="4EFFE567" w14:textId="77777777" w:rsidR="00E960B0" w:rsidRDefault="00CC3A82">
      <w:pPr>
        <w:pStyle w:val="Body"/>
        <w:ind w:firstLine="0"/>
        <w:jc w:val="center"/>
      </w:pPr>
      <w:r w:rsidRPr="0051252B">
        <w:lastRenderedPageBreak/>
        <w:drawing>
          <wp:inline distT="0" distB="0" distL="0" distR="0" wp14:anchorId="2E118301" wp14:editId="70DB976D">
            <wp:extent cx="4711065" cy="21062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1065" cy="2106295"/>
                    </a:xfrm>
                    <a:prstGeom prst="rect">
                      <a:avLst/>
                    </a:prstGeom>
                    <a:noFill/>
                    <a:ln>
                      <a:noFill/>
                    </a:ln>
                  </pic:spPr>
                </pic:pic>
              </a:graphicData>
            </a:graphic>
          </wp:inline>
        </w:drawing>
      </w:r>
    </w:p>
    <w:p w14:paraId="4A107C5B" w14:textId="77777777" w:rsidR="00E960B0" w:rsidRDefault="00E960B0">
      <w:pPr>
        <w:pStyle w:val="Body"/>
      </w:pPr>
    </w:p>
    <w:p w14:paraId="757F8406" w14:textId="77777777" w:rsidR="00E960B0" w:rsidRDefault="00F166F5">
      <w:pPr>
        <w:pStyle w:val="TableFigureHeading"/>
      </w:pPr>
      <w:r>
        <w:t>Figure 1. Interplay between context and statistics</w:t>
      </w:r>
    </w:p>
    <w:p w14:paraId="37F8D9A2" w14:textId="77777777" w:rsidR="00E960B0" w:rsidRDefault="00E960B0">
      <w:pPr>
        <w:pStyle w:val="Body"/>
      </w:pPr>
    </w:p>
    <w:p w14:paraId="60C1F4A4" w14:textId="77777777" w:rsidR="00E960B0" w:rsidRDefault="00F166F5">
      <w:pPr>
        <w:pStyle w:val="Body"/>
      </w:pPr>
      <w:r>
        <w:t>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0BD31AC9" w14:textId="77777777" w:rsidR="00E960B0" w:rsidRDefault="00E960B0">
      <w:pPr>
        <w:pStyle w:val="Body"/>
      </w:pPr>
    </w:p>
    <w:p w14:paraId="3CB75761" w14:textId="77777777" w:rsidR="00E960B0" w:rsidRDefault="00F166F5">
      <w:pPr>
        <w:pStyle w:val="TableFigureHeading"/>
      </w:pPr>
      <w:r>
        <w:t>Table 1. Percentage of responses in the questionnaire</w:t>
      </w:r>
    </w:p>
    <w:p w14:paraId="609FED37" w14:textId="77777777" w:rsidR="00E960B0" w:rsidRDefault="00E960B0">
      <w:pPr>
        <w:pStyle w:val="Body"/>
      </w:pPr>
    </w:p>
    <w:tbl>
      <w:tblPr>
        <w:tblW w:w="0" w:type="auto"/>
        <w:jc w:val="center"/>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4222"/>
        <w:gridCol w:w="1101"/>
        <w:gridCol w:w="1214"/>
        <w:gridCol w:w="1080"/>
      </w:tblGrid>
      <w:tr w:rsidR="00E960B0" w14:paraId="2C36545F" w14:textId="77777777">
        <w:trPr>
          <w:jc w:val="center"/>
        </w:trPr>
        <w:tc>
          <w:tcPr>
            <w:tcW w:w="4222" w:type="dxa"/>
            <w:tcBorders>
              <w:top w:val="single" w:sz="4" w:space="0" w:color="auto"/>
              <w:bottom w:val="nil"/>
            </w:tcBorders>
          </w:tcPr>
          <w:p w14:paraId="725C5408" w14:textId="77777777" w:rsidR="00E960B0" w:rsidRDefault="00E960B0">
            <w:pPr>
              <w:pStyle w:val="TableFigureBody"/>
            </w:pPr>
          </w:p>
        </w:tc>
        <w:tc>
          <w:tcPr>
            <w:tcW w:w="3395" w:type="dxa"/>
            <w:gridSpan w:val="3"/>
            <w:tcBorders>
              <w:top w:val="single" w:sz="4" w:space="0" w:color="auto"/>
              <w:bottom w:val="single" w:sz="4" w:space="0" w:color="auto"/>
            </w:tcBorders>
          </w:tcPr>
          <w:p w14:paraId="5B10BD2D" w14:textId="77777777" w:rsidR="00E960B0" w:rsidRDefault="00F166F5" w:rsidP="00ED176C">
            <w:pPr>
              <w:pStyle w:val="TableFigureBody"/>
              <w:spacing w:before="60" w:after="60"/>
            </w:pPr>
            <w:r>
              <w:t>Type of response</w:t>
            </w:r>
          </w:p>
        </w:tc>
      </w:tr>
      <w:tr w:rsidR="00E960B0" w14:paraId="0858767F" w14:textId="77777777">
        <w:trPr>
          <w:jc w:val="center"/>
        </w:trPr>
        <w:tc>
          <w:tcPr>
            <w:tcW w:w="4222" w:type="dxa"/>
            <w:tcBorders>
              <w:top w:val="nil"/>
              <w:bottom w:val="single" w:sz="4" w:space="0" w:color="auto"/>
            </w:tcBorders>
          </w:tcPr>
          <w:p w14:paraId="3B4F7F01" w14:textId="77777777" w:rsidR="00E960B0" w:rsidRDefault="00E960B0">
            <w:pPr>
              <w:pStyle w:val="TableFigureBody"/>
            </w:pPr>
          </w:p>
        </w:tc>
        <w:tc>
          <w:tcPr>
            <w:tcW w:w="1101" w:type="dxa"/>
            <w:tcBorders>
              <w:top w:val="single" w:sz="4" w:space="0" w:color="auto"/>
              <w:bottom w:val="single" w:sz="4" w:space="0" w:color="auto"/>
            </w:tcBorders>
          </w:tcPr>
          <w:p w14:paraId="73C80F91" w14:textId="77777777" w:rsidR="00E960B0" w:rsidRDefault="00F166F5" w:rsidP="00ED176C">
            <w:pPr>
              <w:pStyle w:val="TableFigureBody"/>
              <w:spacing w:before="60" w:after="60"/>
            </w:pPr>
            <w:r>
              <w:t>A</w:t>
            </w:r>
          </w:p>
        </w:tc>
        <w:tc>
          <w:tcPr>
            <w:tcW w:w="1214" w:type="dxa"/>
            <w:tcBorders>
              <w:top w:val="single" w:sz="4" w:space="0" w:color="auto"/>
              <w:bottom w:val="single" w:sz="4" w:space="0" w:color="auto"/>
            </w:tcBorders>
          </w:tcPr>
          <w:p w14:paraId="5D0A3572" w14:textId="77777777" w:rsidR="00E960B0" w:rsidRDefault="00F166F5" w:rsidP="00ED176C">
            <w:pPr>
              <w:pStyle w:val="TableFigureBody"/>
              <w:spacing w:before="60" w:after="60"/>
            </w:pPr>
            <w:r>
              <w:t>B</w:t>
            </w:r>
          </w:p>
        </w:tc>
        <w:tc>
          <w:tcPr>
            <w:tcW w:w="1080" w:type="dxa"/>
            <w:tcBorders>
              <w:top w:val="single" w:sz="4" w:space="0" w:color="auto"/>
              <w:bottom w:val="single" w:sz="4" w:space="0" w:color="auto"/>
            </w:tcBorders>
          </w:tcPr>
          <w:p w14:paraId="6BB13559" w14:textId="77777777" w:rsidR="00E960B0" w:rsidRDefault="00F166F5" w:rsidP="00ED176C">
            <w:pPr>
              <w:pStyle w:val="TableFigureBody"/>
              <w:spacing w:before="60" w:after="60"/>
            </w:pPr>
            <w:r>
              <w:t>C</w:t>
            </w:r>
          </w:p>
        </w:tc>
      </w:tr>
      <w:tr w:rsidR="00E960B0" w14:paraId="43DF47D6" w14:textId="77777777">
        <w:trPr>
          <w:jc w:val="center"/>
        </w:trPr>
        <w:tc>
          <w:tcPr>
            <w:tcW w:w="4222" w:type="dxa"/>
          </w:tcPr>
          <w:p w14:paraId="44C68DA0" w14:textId="77777777" w:rsidR="00E960B0" w:rsidRDefault="00F166F5">
            <w:pPr>
              <w:pStyle w:val="TableFigureBody"/>
            </w:pPr>
            <w:r>
              <w:t>Item 1</w:t>
            </w:r>
          </w:p>
        </w:tc>
        <w:tc>
          <w:tcPr>
            <w:tcW w:w="1101" w:type="dxa"/>
          </w:tcPr>
          <w:p w14:paraId="10340267" w14:textId="77777777" w:rsidR="00E960B0" w:rsidRDefault="00F166F5">
            <w:pPr>
              <w:pStyle w:val="TableFigureBody"/>
            </w:pPr>
            <w:r>
              <w:t>12</w:t>
            </w:r>
          </w:p>
        </w:tc>
        <w:tc>
          <w:tcPr>
            <w:tcW w:w="1214" w:type="dxa"/>
          </w:tcPr>
          <w:p w14:paraId="364CE3A3" w14:textId="77777777" w:rsidR="00E960B0" w:rsidRDefault="00F166F5">
            <w:pPr>
              <w:pStyle w:val="TableFigureBody"/>
            </w:pPr>
            <w:r>
              <w:t>35</w:t>
            </w:r>
          </w:p>
        </w:tc>
        <w:tc>
          <w:tcPr>
            <w:tcW w:w="1080" w:type="dxa"/>
          </w:tcPr>
          <w:p w14:paraId="3EC5C339" w14:textId="77777777" w:rsidR="00E960B0" w:rsidRDefault="00E960B0">
            <w:pPr>
              <w:pStyle w:val="TableFigureBody"/>
            </w:pPr>
          </w:p>
        </w:tc>
      </w:tr>
      <w:tr w:rsidR="00E960B0" w14:paraId="096BC246" w14:textId="77777777">
        <w:trPr>
          <w:jc w:val="center"/>
        </w:trPr>
        <w:tc>
          <w:tcPr>
            <w:tcW w:w="4222" w:type="dxa"/>
          </w:tcPr>
          <w:p w14:paraId="67D3A652" w14:textId="77777777" w:rsidR="00E960B0" w:rsidRDefault="00F166F5">
            <w:pPr>
              <w:pStyle w:val="TableFigureBody"/>
            </w:pPr>
            <w:r>
              <w:t>Item 2</w:t>
            </w:r>
          </w:p>
        </w:tc>
        <w:tc>
          <w:tcPr>
            <w:tcW w:w="1101" w:type="dxa"/>
          </w:tcPr>
          <w:p w14:paraId="3DA07FDD" w14:textId="77777777" w:rsidR="00E960B0" w:rsidRDefault="00E960B0">
            <w:pPr>
              <w:pStyle w:val="TableFigureBody"/>
            </w:pPr>
          </w:p>
        </w:tc>
        <w:tc>
          <w:tcPr>
            <w:tcW w:w="1214" w:type="dxa"/>
          </w:tcPr>
          <w:p w14:paraId="51562696" w14:textId="77777777" w:rsidR="00E960B0" w:rsidRDefault="00F166F5">
            <w:pPr>
              <w:pStyle w:val="TableFigureBody"/>
            </w:pPr>
            <w:r>
              <w:t>7</w:t>
            </w:r>
          </w:p>
        </w:tc>
        <w:tc>
          <w:tcPr>
            <w:tcW w:w="1080" w:type="dxa"/>
          </w:tcPr>
          <w:p w14:paraId="71133882" w14:textId="77777777" w:rsidR="00E960B0" w:rsidRDefault="00E960B0">
            <w:pPr>
              <w:pStyle w:val="TableFigureBody"/>
            </w:pPr>
          </w:p>
        </w:tc>
      </w:tr>
      <w:tr w:rsidR="00E960B0" w14:paraId="31FF4F01" w14:textId="77777777">
        <w:trPr>
          <w:trHeight w:val="100"/>
          <w:jc w:val="center"/>
        </w:trPr>
        <w:tc>
          <w:tcPr>
            <w:tcW w:w="4222" w:type="dxa"/>
            <w:tcBorders>
              <w:bottom w:val="nil"/>
            </w:tcBorders>
          </w:tcPr>
          <w:p w14:paraId="0608B267" w14:textId="77777777" w:rsidR="00E960B0" w:rsidRDefault="00F166F5">
            <w:pPr>
              <w:pStyle w:val="TableFigureBody"/>
            </w:pPr>
            <w:r>
              <w:t>Item 3</w:t>
            </w:r>
          </w:p>
        </w:tc>
        <w:tc>
          <w:tcPr>
            <w:tcW w:w="1101" w:type="dxa"/>
            <w:tcBorders>
              <w:bottom w:val="nil"/>
            </w:tcBorders>
          </w:tcPr>
          <w:p w14:paraId="16B0CB06" w14:textId="77777777" w:rsidR="00E960B0" w:rsidRDefault="00F166F5">
            <w:pPr>
              <w:pStyle w:val="TableFigureBody"/>
            </w:pPr>
            <w:r>
              <w:t>3</w:t>
            </w:r>
          </w:p>
        </w:tc>
        <w:tc>
          <w:tcPr>
            <w:tcW w:w="1214" w:type="dxa"/>
            <w:tcBorders>
              <w:bottom w:val="nil"/>
            </w:tcBorders>
          </w:tcPr>
          <w:p w14:paraId="17696219" w14:textId="77777777" w:rsidR="00E960B0" w:rsidRDefault="00E960B0">
            <w:pPr>
              <w:pStyle w:val="TableFigureBody"/>
            </w:pPr>
          </w:p>
        </w:tc>
        <w:tc>
          <w:tcPr>
            <w:tcW w:w="1080" w:type="dxa"/>
            <w:tcBorders>
              <w:bottom w:val="nil"/>
            </w:tcBorders>
          </w:tcPr>
          <w:p w14:paraId="40E52669" w14:textId="77777777" w:rsidR="00E960B0" w:rsidRDefault="00E960B0">
            <w:pPr>
              <w:pStyle w:val="TableFigureBody"/>
            </w:pPr>
          </w:p>
        </w:tc>
      </w:tr>
      <w:tr w:rsidR="00E960B0" w14:paraId="75A76792" w14:textId="77777777">
        <w:trPr>
          <w:jc w:val="center"/>
        </w:trPr>
        <w:tc>
          <w:tcPr>
            <w:tcW w:w="4222" w:type="dxa"/>
            <w:tcBorders>
              <w:bottom w:val="single" w:sz="4" w:space="0" w:color="auto"/>
            </w:tcBorders>
          </w:tcPr>
          <w:p w14:paraId="2A86B06E" w14:textId="77777777" w:rsidR="00E960B0" w:rsidRDefault="00F166F5">
            <w:pPr>
              <w:pStyle w:val="TableFigureBody"/>
            </w:pPr>
            <w:r>
              <w:t>Item 4</w:t>
            </w:r>
          </w:p>
        </w:tc>
        <w:tc>
          <w:tcPr>
            <w:tcW w:w="1101" w:type="dxa"/>
            <w:tcBorders>
              <w:bottom w:val="single" w:sz="4" w:space="0" w:color="auto"/>
            </w:tcBorders>
          </w:tcPr>
          <w:p w14:paraId="0C2B485A" w14:textId="77777777" w:rsidR="00E960B0" w:rsidRDefault="00E960B0">
            <w:pPr>
              <w:pStyle w:val="TableFigureBody"/>
            </w:pPr>
          </w:p>
        </w:tc>
        <w:tc>
          <w:tcPr>
            <w:tcW w:w="1214" w:type="dxa"/>
            <w:tcBorders>
              <w:bottom w:val="single" w:sz="4" w:space="0" w:color="auto"/>
            </w:tcBorders>
          </w:tcPr>
          <w:p w14:paraId="738356BF" w14:textId="77777777" w:rsidR="00E960B0" w:rsidRDefault="00E960B0">
            <w:pPr>
              <w:pStyle w:val="TableFigureBody"/>
            </w:pPr>
          </w:p>
        </w:tc>
        <w:tc>
          <w:tcPr>
            <w:tcW w:w="1080" w:type="dxa"/>
            <w:tcBorders>
              <w:bottom w:val="single" w:sz="4" w:space="0" w:color="auto"/>
            </w:tcBorders>
          </w:tcPr>
          <w:p w14:paraId="10A3C41E" w14:textId="77777777" w:rsidR="00E960B0" w:rsidRDefault="00F166F5">
            <w:pPr>
              <w:pStyle w:val="TableFigureBody"/>
            </w:pPr>
            <w:r>
              <w:t>43</w:t>
            </w:r>
          </w:p>
        </w:tc>
      </w:tr>
    </w:tbl>
    <w:p w14:paraId="323D407B" w14:textId="77777777" w:rsidR="00E960B0" w:rsidRDefault="00E960B0">
      <w:pPr>
        <w:pStyle w:val="Body"/>
      </w:pPr>
    </w:p>
    <w:p w14:paraId="72DF6CA6" w14:textId="77777777" w:rsidR="00E960B0" w:rsidRDefault="00F166F5">
      <w:pPr>
        <w:pStyle w:val="Body"/>
      </w:pPr>
      <w:r>
        <w:t>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0057FE77" w14:textId="77777777" w:rsidR="00E960B0" w:rsidRDefault="00E960B0">
      <w:pPr>
        <w:pStyle w:val="Body"/>
      </w:pPr>
    </w:p>
    <w:p w14:paraId="4AC9CCE8" w14:textId="77777777" w:rsidR="00E960B0" w:rsidRDefault="00F166F5">
      <w:pPr>
        <w:pStyle w:val="SectionHeading"/>
      </w:pPr>
      <w:r>
        <w:t>Title of third section</w:t>
      </w:r>
    </w:p>
    <w:p w14:paraId="3AC6CA88" w14:textId="77777777" w:rsidR="00E960B0" w:rsidRDefault="00E960B0">
      <w:pPr>
        <w:pStyle w:val="Body"/>
        <w:ind w:firstLine="0"/>
      </w:pPr>
    </w:p>
    <w:p w14:paraId="77549AFF" w14:textId="77777777" w:rsidR="00E960B0" w:rsidRDefault="006869A6">
      <w:pPr>
        <w:pStyle w:val="SubSectionHeading"/>
      </w:pPr>
      <w:r>
        <w:t xml:space="preserve"> </w:t>
      </w:r>
      <w:r w:rsidR="00F166F5">
        <w:t>Title of subsection</w:t>
      </w:r>
    </w:p>
    <w:p w14:paraId="03CB0F71" w14:textId="77777777" w:rsidR="00E960B0" w:rsidRDefault="00E960B0">
      <w:pPr>
        <w:pStyle w:val="Body"/>
      </w:pPr>
    </w:p>
    <w:p w14:paraId="201C1D9F" w14:textId="77777777" w:rsidR="00E960B0" w:rsidRDefault="00F166F5">
      <w:pPr>
        <w:pStyle w:val="Body"/>
      </w:pPr>
      <w:r>
        <w:t xml:space="preserve">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w:t>
      </w:r>
      <w:r>
        <w:lastRenderedPageBreak/>
        <w:t>it may not know it yet. Insights that the statistics education community badly needs to have, even though it may not know it yet.</w:t>
      </w:r>
    </w:p>
    <w:p w14:paraId="71A91FBF" w14:textId="77777777" w:rsidR="00E960B0" w:rsidRDefault="00F166F5">
      <w:pPr>
        <w:pStyle w:val="Body"/>
      </w:pPr>
      <w:r>
        <w:t>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At some stage you may need to say that author( (2005) said:</w:t>
      </w:r>
    </w:p>
    <w:p w14:paraId="0033CB11" w14:textId="77777777" w:rsidR="00E960B0" w:rsidRDefault="00F166F5">
      <w:pPr>
        <w:pStyle w:val="LongQuote"/>
      </w:pPr>
      <w:r>
        <w:t xml:space="preserve">This is a long quote and should be formatted using ‘.Long Quote’ Style. This is a long quote and should be formatted using ‘.Long Quote’ Style. This is a long quote and should be formatted using ‘.Long Quote’ Style. This is a long quote and should be formatted using ‘.Long Quote’ Style. This is a long quote and should be formatted using ‘.Long Quote’ Style. </w:t>
      </w:r>
    </w:p>
    <w:p w14:paraId="5E01F536" w14:textId="77777777" w:rsidR="00E960B0" w:rsidRDefault="00F166F5">
      <w:pPr>
        <w:pStyle w:val="Body"/>
      </w:pPr>
      <w:r>
        <w:t>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0C28EEA4" w14:textId="77777777" w:rsidR="00E960B0" w:rsidRDefault="00E960B0">
      <w:pPr>
        <w:pStyle w:val="Body"/>
      </w:pPr>
    </w:p>
    <w:p w14:paraId="1957B929" w14:textId="77777777" w:rsidR="00E960B0" w:rsidRDefault="006869A6">
      <w:pPr>
        <w:pStyle w:val="SubSectionHeading"/>
      </w:pPr>
      <w:r>
        <w:t xml:space="preserve"> </w:t>
      </w:r>
      <w:r w:rsidR="00F166F5">
        <w:t>Title of second subsection</w:t>
      </w:r>
    </w:p>
    <w:p w14:paraId="55671A7B" w14:textId="77777777" w:rsidR="00E960B0" w:rsidRDefault="00E960B0">
      <w:pPr>
        <w:pStyle w:val="Body"/>
      </w:pPr>
    </w:p>
    <w:p w14:paraId="6F6FD08D" w14:textId="77777777" w:rsidR="00E960B0" w:rsidRDefault="00F166F5">
      <w:pPr>
        <w:pStyle w:val="Body"/>
      </w:pPr>
      <w:r>
        <w:t>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 Insights that the statistics education community badly needs to have, even though it may not know it yet.</w:t>
      </w:r>
    </w:p>
    <w:p w14:paraId="2FA09255" w14:textId="77777777" w:rsidR="00E960B0" w:rsidRDefault="00F166F5">
      <w:pPr>
        <w:pStyle w:val="Body"/>
      </w:pPr>
      <w:r>
        <w:t>If you have student responses are transcripts to include then place them in a table and use the ‘.Table/Figure Body’ Style. This makes formatting of the content much more consistent.</w:t>
      </w:r>
    </w:p>
    <w:p w14:paraId="3E1A89F1" w14:textId="77777777" w:rsidR="00E960B0" w:rsidRDefault="00E960B0">
      <w:pPr>
        <w:pStyle w:val="Body"/>
      </w:pPr>
    </w:p>
    <w:tbl>
      <w:tblPr>
        <w:tblW w:w="8640" w:type="dxa"/>
        <w:tblInd w:w="108" w:type="dxa"/>
        <w:tblLook w:val="0000" w:firstRow="0" w:lastRow="0" w:firstColumn="0" w:lastColumn="0" w:noHBand="0" w:noVBand="0"/>
      </w:tblPr>
      <w:tblGrid>
        <w:gridCol w:w="800"/>
        <w:gridCol w:w="7840"/>
      </w:tblGrid>
      <w:tr w:rsidR="00E960B0" w14:paraId="074AE18F" w14:textId="77777777">
        <w:tc>
          <w:tcPr>
            <w:tcW w:w="810" w:type="dxa"/>
          </w:tcPr>
          <w:p w14:paraId="1B2AABD5" w14:textId="77777777" w:rsidR="00E960B0" w:rsidRDefault="00F166F5" w:rsidP="00BC4086">
            <w:pPr>
              <w:pStyle w:val="TableFigureBody"/>
            </w:pPr>
            <w:r>
              <w:t>Intv:</w:t>
            </w:r>
          </w:p>
        </w:tc>
        <w:tc>
          <w:tcPr>
            <w:tcW w:w="8190" w:type="dxa"/>
          </w:tcPr>
          <w:p w14:paraId="4F0ED695" w14:textId="77777777" w:rsidR="00E960B0" w:rsidRDefault="00F166F5" w:rsidP="00BC4086">
            <w:pPr>
              <w:pStyle w:val="TableFigureBody"/>
            </w:pPr>
            <w:r>
              <w:t>So what were you doing here?</w:t>
            </w:r>
          </w:p>
        </w:tc>
      </w:tr>
      <w:tr w:rsidR="00E960B0" w14:paraId="55F60B42" w14:textId="77777777">
        <w:tc>
          <w:tcPr>
            <w:tcW w:w="810" w:type="dxa"/>
          </w:tcPr>
          <w:p w14:paraId="5EBBCCBE" w14:textId="77777777" w:rsidR="00E960B0" w:rsidRDefault="00F166F5" w:rsidP="00BC4086">
            <w:pPr>
              <w:pStyle w:val="TableFigureBody"/>
            </w:pPr>
            <w:r>
              <w:t>Carl:</w:t>
            </w:r>
          </w:p>
        </w:tc>
        <w:tc>
          <w:tcPr>
            <w:tcW w:w="8190" w:type="dxa"/>
          </w:tcPr>
          <w:p w14:paraId="65AA6BCA" w14:textId="77777777" w:rsidR="00E960B0" w:rsidRDefault="00F166F5" w:rsidP="00BC4086">
            <w:pPr>
              <w:pStyle w:val="TableFigureBody"/>
            </w:pPr>
            <w:r>
              <w:t>I put…I tried to scrunch up all of the numbers as close as I could to the mean, and tried to make a new mean in this case. And, uh, it wouldn’t have worked if I were to have switch, if I were to have it in progressive order of small orange, medium blue, to big red.</w:t>
            </w:r>
          </w:p>
        </w:tc>
      </w:tr>
      <w:tr w:rsidR="00E960B0" w14:paraId="25713DFF" w14:textId="77777777">
        <w:tc>
          <w:tcPr>
            <w:tcW w:w="810" w:type="dxa"/>
          </w:tcPr>
          <w:p w14:paraId="5B1ACBE0" w14:textId="77777777" w:rsidR="00E960B0" w:rsidRDefault="00F166F5" w:rsidP="00BC4086">
            <w:pPr>
              <w:pStyle w:val="TableFigureBody"/>
            </w:pPr>
            <w:r>
              <w:t>Intv:</w:t>
            </w:r>
          </w:p>
        </w:tc>
        <w:tc>
          <w:tcPr>
            <w:tcW w:w="8190" w:type="dxa"/>
          </w:tcPr>
          <w:p w14:paraId="2E0C359B" w14:textId="77777777" w:rsidR="00E960B0" w:rsidRDefault="00F166F5" w:rsidP="00BC4086">
            <w:pPr>
              <w:pStyle w:val="TableFigureBody"/>
            </w:pPr>
            <w:r>
              <w:t>Mm hmm.</w:t>
            </w:r>
          </w:p>
        </w:tc>
      </w:tr>
      <w:tr w:rsidR="00E960B0" w14:paraId="171EC6B1" w14:textId="77777777">
        <w:tc>
          <w:tcPr>
            <w:tcW w:w="810" w:type="dxa"/>
          </w:tcPr>
          <w:p w14:paraId="04642C71" w14:textId="77777777" w:rsidR="00E960B0" w:rsidRDefault="00F166F5" w:rsidP="00BC4086">
            <w:pPr>
              <w:pStyle w:val="TableFigureBody"/>
            </w:pPr>
            <w:r>
              <w:t>Carl:</w:t>
            </w:r>
          </w:p>
        </w:tc>
        <w:tc>
          <w:tcPr>
            <w:tcW w:w="8190" w:type="dxa"/>
          </w:tcPr>
          <w:p w14:paraId="1209A57F" w14:textId="77777777" w:rsidR="00E960B0" w:rsidRDefault="00F166F5" w:rsidP="00BC4086">
            <w:pPr>
              <w:pStyle w:val="TableFigureBody"/>
            </w:pPr>
            <w:r>
              <w:t>Because the red is the biggest. You want it to be that in between so the mean is going to, so that you’ll have the mean more with the more amount of numbers, basically.</w:t>
            </w:r>
          </w:p>
        </w:tc>
      </w:tr>
    </w:tbl>
    <w:p w14:paraId="12B927B4" w14:textId="77777777" w:rsidR="00E960B0" w:rsidRDefault="00E960B0">
      <w:pPr>
        <w:pStyle w:val="Body"/>
      </w:pPr>
    </w:p>
    <w:p w14:paraId="6434EF18" w14:textId="77777777" w:rsidR="00E960B0" w:rsidRDefault="00F166F5">
      <w:pPr>
        <w:pStyle w:val="AcknowlegementTitle"/>
      </w:pPr>
      <w:r>
        <w:t>ACKNOWLEDGEMENTS</w:t>
      </w:r>
    </w:p>
    <w:p w14:paraId="5DC5493A" w14:textId="77777777" w:rsidR="00E960B0" w:rsidRDefault="00E960B0">
      <w:pPr>
        <w:pStyle w:val="Body"/>
      </w:pPr>
    </w:p>
    <w:p w14:paraId="74972A48" w14:textId="77777777" w:rsidR="00E960B0" w:rsidRDefault="00F166F5">
      <w:pPr>
        <w:pStyle w:val="Body"/>
      </w:pPr>
      <w:r>
        <w:t>Insights that the statistics education community badly needs to have, even though it may not know it yet. I would like to thank all these wonderful people and also funding agencies (if I could just find someone to fund my research).</w:t>
      </w:r>
    </w:p>
    <w:p w14:paraId="663E01CB" w14:textId="77777777" w:rsidR="00E960B0" w:rsidRDefault="00E960B0">
      <w:pPr>
        <w:pStyle w:val="Body"/>
      </w:pPr>
    </w:p>
    <w:p w14:paraId="73D7A97A" w14:textId="77777777" w:rsidR="00E960B0" w:rsidRDefault="00F166F5">
      <w:pPr>
        <w:pStyle w:val="ReferencesTitle"/>
      </w:pPr>
      <w:r>
        <w:t>REFERENCES</w:t>
      </w:r>
    </w:p>
    <w:p w14:paraId="338D9A44" w14:textId="77777777" w:rsidR="00E960B0" w:rsidRDefault="00E960B0">
      <w:pPr>
        <w:pStyle w:val="Body"/>
      </w:pPr>
    </w:p>
    <w:p w14:paraId="5A6400BD" w14:textId="77777777" w:rsidR="00E960B0" w:rsidRDefault="00F166F5">
      <w:pPr>
        <w:pStyle w:val="ReferencesBody"/>
      </w:pPr>
      <w:r>
        <w:t>Bennett, D. J. (1993).</w:t>
      </w:r>
      <w:r>
        <w:rPr>
          <w:i/>
        </w:rPr>
        <w:t xml:space="preserve"> The development of the mathematical concept of randomness: Educational implications</w:t>
      </w:r>
      <w:r>
        <w:t xml:space="preserve"> (Doctoral dissertation, New York University, 1993). Dissertations Abstracts International, </w:t>
      </w:r>
      <w:r>
        <w:rPr>
          <w:i/>
        </w:rPr>
        <w:t>54</w:t>
      </w:r>
      <w:r>
        <w:t>, 449A. (University Microfilms No 93-17, 657).</w:t>
      </w:r>
    </w:p>
    <w:p w14:paraId="497D2AED" w14:textId="617D920B" w:rsidR="00E960B0" w:rsidRDefault="00F166F5">
      <w:pPr>
        <w:pStyle w:val="ReferencesBody"/>
        <w:rPr>
          <w:position w:val="6"/>
        </w:rPr>
      </w:pPr>
      <w:r>
        <w:t xml:space="preserve">Belli, G. (2000). The teaching of statistical consulting skills. Paper presented at the </w:t>
      </w:r>
      <w:r>
        <w:rPr>
          <w:i/>
        </w:rPr>
        <w:t>Meetings of the American Educational Research Association,</w:t>
      </w:r>
      <w:r>
        <w:t xml:space="preserve"> New Orleans, April 24</w:t>
      </w:r>
      <w:r w:rsidR="00D4763B">
        <w:t>–</w:t>
      </w:r>
      <w:r>
        <w:t>28.</w:t>
      </w:r>
    </w:p>
    <w:p w14:paraId="61E49EE3" w14:textId="77777777" w:rsidR="00E960B0" w:rsidRDefault="00F166F5">
      <w:pPr>
        <w:pStyle w:val="ReferencesBody"/>
      </w:pPr>
      <w:r>
        <w:t xml:space="preserve">Biehler, R. (1994). Probabilistic thinking, statistical reasoning and the search for causes: Do we need a probabilistic revolution after we have taught data analysis? In J. Garfield (Ed.), </w:t>
      </w:r>
      <w:r>
        <w:rPr>
          <w:i/>
        </w:rPr>
        <w:t xml:space="preserve">Research papers from the Fourth International Conference on Teaching Statistics. </w:t>
      </w:r>
      <w:r>
        <w:t>Minneapolis, MN: University of Minnesota.</w:t>
      </w:r>
    </w:p>
    <w:p w14:paraId="1AB04DAC" w14:textId="49D6AFD1" w:rsidR="00E960B0" w:rsidRDefault="00F166F5">
      <w:pPr>
        <w:pStyle w:val="ReferencesBody"/>
      </w:pPr>
      <w:r>
        <w:lastRenderedPageBreak/>
        <w:t xml:space="preserve">Garfield, J., &amp; Ahlgren, A. (1988). Difficulties in learning basic concepts in probability and statistics: implications for research. </w:t>
      </w:r>
      <w:r>
        <w:rPr>
          <w:i/>
        </w:rPr>
        <w:t>Journal for Research in Mathematics Education</w:t>
      </w:r>
      <w:r>
        <w:t xml:space="preserve"> </w:t>
      </w:r>
      <w:r>
        <w:rPr>
          <w:i/>
        </w:rPr>
        <w:t>19</w:t>
      </w:r>
      <w:r>
        <w:t>, 44</w:t>
      </w:r>
      <w:r w:rsidR="00D4763B">
        <w:t>–</w:t>
      </w:r>
      <w:r>
        <w:t>63.</w:t>
      </w:r>
      <w:r w:rsidR="00DE736B">
        <w:t xml:space="preserve"> </w:t>
      </w:r>
      <w:r w:rsidR="00DE736B" w:rsidRPr="00DE736B">
        <w:t>https://doi.org/10.2307/749110</w:t>
      </w:r>
    </w:p>
    <w:p w14:paraId="78A085D7" w14:textId="3362F25E" w:rsidR="00E960B0" w:rsidRDefault="00F166F5">
      <w:pPr>
        <w:pStyle w:val="ReferencesBody"/>
      </w:pPr>
      <w:r>
        <w:t xml:space="preserve">Hill, A. B. (1965). The environment and disease: Association or causation. </w:t>
      </w:r>
      <w:r>
        <w:rPr>
          <w:i/>
        </w:rPr>
        <w:t>Proceedings of the Royal Society of Medicine</w:t>
      </w:r>
      <w:r>
        <w:t xml:space="preserve">, </w:t>
      </w:r>
      <w:r>
        <w:rPr>
          <w:i/>
        </w:rPr>
        <w:t>58</w:t>
      </w:r>
      <w:r>
        <w:t>, 295</w:t>
      </w:r>
      <w:r w:rsidR="00D4763B">
        <w:t>–</w:t>
      </w:r>
      <w:r>
        <w:t>300.</w:t>
      </w:r>
      <w:r w:rsidR="0082778A">
        <w:t xml:space="preserve"> </w:t>
      </w:r>
      <w:r w:rsidR="0082778A" w:rsidRPr="0082778A">
        <w:t>https://doi.org/10.1177/003591576505800503</w:t>
      </w:r>
    </w:p>
    <w:p w14:paraId="413B7873" w14:textId="01B8DB8D" w:rsidR="00E960B0" w:rsidRDefault="00F166F5">
      <w:pPr>
        <w:pStyle w:val="ReferencesBody"/>
      </w:pPr>
      <w:r>
        <w:t xml:space="preserve">Konold, C. (1994). Understanding probability and statistics through resampling. In L. Brunelli &amp; G. Cicchitelli (Eds.), </w:t>
      </w:r>
      <w:r>
        <w:rPr>
          <w:i/>
        </w:rPr>
        <w:t>Proceedings of the First Scientific Meeting of the International Association for Statistical Education</w:t>
      </w:r>
      <w:r>
        <w:t xml:space="preserve"> (pp. 199</w:t>
      </w:r>
      <w:r w:rsidR="00D4763B">
        <w:t>–</w:t>
      </w:r>
      <w:r>
        <w:t>211). Perugia, Italy: University of Perugia.</w:t>
      </w:r>
    </w:p>
    <w:p w14:paraId="2188AA9F" w14:textId="3DE6A6B3" w:rsidR="00E960B0" w:rsidRDefault="00F166F5">
      <w:pPr>
        <w:pStyle w:val="ReferencesBody"/>
      </w:pPr>
      <w:r>
        <w:t>Konold, C., Robinson, A., Khalil, K., Pollatsek, A., Well, A., Wing, R., &amp; Mayr, S. (2002). Students’ use of modal clumps to summarize data</w:t>
      </w:r>
      <w:r>
        <w:rPr>
          <w:i/>
        </w:rPr>
        <w:t>.</w:t>
      </w:r>
      <w:r>
        <w:t xml:space="preserve"> In B. Phillips (Ed.), </w:t>
      </w:r>
      <w:r>
        <w:rPr>
          <w:i/>
        </w:rPr>
        <w:t xml:space="preserve">Proceedings of the Sixth International Conference on Teaching Statistics, Cape Town, South Africa </w:t>
      </w:r>
      <w:r>
        <w:t>[CD-ROM]. International Statistical Institute.</w:t>
      </w:r>
    </w:p>
    <w:p w14:paraId="13065D3F" w14:textId="57201130" w:rsidR="00E960B0" w:rsidRDefault="00F166F5">
      <w:pPr>
        <w:pStyle w:val="ReferencesBody"/>
      </w:pPr>
      <w:r>
        <w:t>Moore, D. (1990). Uncertainty. In L. Steen (Ed.),</w:t>
      </w:r>
      <w:r>
        <w:rPr>
          <w:i/>
        </w:rPr>
        <w:t xml:space="preserve"> On the shoulders of giants: New approaches to numeracy </w:t>
      </w:r>
      <w:r>
        <w:t>(pp. 95-137). National Academy Press.</w:t>
      </w:r>
    </w:p>
    <w:p w14:paraId="7633F84D" w14:textId="34D67A8A" w:rsidR="00E960B0" w:rsidRDefault="00F166F5">
      <w:pPr>
        <w:pStyle w:val="ReferencesBody"/>
      </w:pPr>
      <w:r>
        <w:t xml:space="preserve">Moore, D. (1997). New pedagogy and new content: the case of statistics. </w:t>
      </w:r>
      <w:r>
        <w:rPr>
          <w:i/>
        </w:rPr>
        <w:t>International Statistical Review, 65</w:t>
      </w:r>
      <w:r>
        <w:t>, 123</w:t>
      </w:r>
      <w:r w:rsidR="00D4763B">
        <w:t>–</w:t>
      </w:r>
      <w:r>
        <w:t>165.</w:t>
      </w:r>
    </w:p>
    <w:p w14:paraId="42C98793" w14:textId="0236E3FA" w:rsidR="00E960B0" w:rsidRDefault="00F166F5">
      <w:pPr>
        <w:pStyle w:val="ReferencesBody"/>
      </w:pPr>
      <w:r>
        <w:t>Piaget, J., &amp; Inhelder, B. (1951).</w:t>
      </w:r>
      <w:r>
        <w:rPr>
          <w:i/>
        </w:rPr>
        <w:t xml:space="preserve"> La genèse de l'idèe de hasard chez l'enfant. </w:t>
      </w:r>
      <w:r>
        <w:t>[The origin of the idea of chance in children]. Presses Universitaires de France.</w:t>
      </w:r>
    </w:p>
    <w:p w14:paraId="4862F7EE" w14:textId="33BB49F0" w:rsidR="00E960B0" w:rsidRDefault="00F166F5">
      <w:pPr>
        <w:pStyle w:val="ReferencesBody"/>
      </w:pPr>
      <w:r>
        <w:t>Reading, C. (1998).</w:t>
      </w:r>
      <w:r>
        <w:rPr>
          <w:i/>
        </w:rPr>
        <w:t xml:space="preserve"> </w:t>
      </w:r>
      <w:r>
        <w:t xml:space="preserve">Reactions to </w:t>
      </w:r>
      <w:r w:rsidR="00877127">
        <w:t>d</w:t>
      </w:r>
      <w:r>
        <w:t xml:space="preserve">ata: Students’ </w:t>
      </w:r>
      <w:r w:rsidR="00877127">
        <w:t>u</w:t>
      </w:r>
      <w:r>
        <w:t xml:space="preserve">nderstanding of </w:t>
      </w:r>
      <w:r w:rsidR="00877127">
        <w:t>d</w:t>
      </w:r>
      <w:r>
        <w:t xml:space="preserve">ata </w:t>
      </w:r>
      <w:r w:rsidR="00877127">
        <w:t>i</w:t>
      </w:r>
      <w:r>
        <w:t xml:space="preserve">nterpretation. In L. Pereira-Mendoza, L.S. Kea, T.W. Kee &amp; W. F. Wong (Eds), </w:t>
      </w:r>
      <w:r>
        <w:rPr>
          <w:i/>
        </w:rPr>
        <w:t>Statistical Education – Expanding the Network. Proceedings of the Fifth International Conference on Teaching of Statistics.</w:t>
      </w:r>
      <w:r>
        <w:t xml:space="preserve"> (pp. 1427</w:t>
      </w:r>
      <w:r w:rsidR="00D4763B">
        <w:t>–</w:t>
      </w:r>
      <w:r>
        <w:t>1433). Singapore.</w:t>
      </w:r>
    </w:p>
    <w:p w14:paraId="17CE4406" w14:textId="05CC3176" w:rsidR="00E960B0" w:rsidRDefault="00F166F5">
      <w:pPr>
        <w:pStyle w:val="ReferencesBody"/>
      </w:pPr>
      <w:r>
        <w:t xml:space="preserve">Reading, C. (2004). Student description of variation while working with weather data. </w:t>
      </w:r>
      <w:r>
        <w:rPr>
          <w:i/>
        </w:rPr>
        <w:t>Statistics Education Research Journal, 3</w:t>
      </w:r>
      <w:r>
        <w:t>(2), 84</w:t>
      </w:r>
      <w:r w:rsidR="00D4763B">
        <w:t>–</w:t>
      </w:r>
      <w:r>
        <w:t>105.</w:t>
      </w:r>
      <w:r w:rsidR="008A4F68">
        <w:t xml:space="preserve"> </w:t>
      </w:r>
      <w:r w:rsidR="007514B5" w:rsidRPr="007514B5">
        <w:t>https://doi.org/10.52041/serj.v3i2.548</w:t>
      </w:r>
    </w:p>
    <w:p w14:paraId="5F14567F" w14:textId="447728F2" w:rsidR="00E960B0" w:rsidRDefault="00F166F5">
      <w:pPr>
        <w:pStyle w:val="ReferencesBody"/>
      </w:pPr>
      <w:r>
        <w:t xml:space="preserve">Sánchez, F. T. (1999). </w:t>
      </w:r>
      <w:r>
        <w:rPr>
          <w:i/>
        </w:rPr>
        <w:t>Significado de la correlación y regresión para los estudiantes universitarios</w:t>
      </w:r>
      <w:r>
        <w:t xml:space="preserve"> [Meanings of correlation and regression for undergraduates]. </w:t>
      </w:r>
      <w:r w:rsidR="004130C3">
        <w:t>[D</w:t>
      </w:r>
      <w:r>
        <w:t>octoral dissertation, University of Granada</w:t>
      </w:r>
      <w:r w:rsidR="004130C3">
        <w:t>].</w:t>
      </w:r>
    </w:p>
    <w:p w14:paraId="2A472872" w14:textId="485D2568" w:rsidR="00E960B0" w:rsidRDefault="00F166F5">
      <w:pPr>
        <w:pStyle w:val="ReferencesBody"/>
      </w:pPr>
      <w:r>
        <w:t xml:space="preserve">Shaughnessy, M. (1992). Research in probability and statistics: Reflections and directions. In D. Grouws (Ed.), </w:t>
      </w:r>
      <w:r>
        <w:rPr>
          <w:i/>
        </w:rPr>
        <w:t>Handbook of research on mathematics teaching and learning</w:t>
      </w:r>
      <w:r>
        <w:t xml:space="preserve"> (pp 465</w:t>
      </w:r>
      <w:r w:rsidR="004130C3">
        <w:t>–</w:t>
      </w:r>
      <w:r>
        <w:t>494). Macmillan.</w:t>
      </w:r>
    </w:p>
    <w:p w14:paraId="06E75CE2" w14:textId="6043A9ED" w:rsidR="00E960B0" w:rsidRDefault="00F166F5">
      <w:pPr>
        <w:pStyle w:val="ReferencesBody"/>
      </w:pPr>
      <w:r>
        <w:t>Shaughnessy, J. M., Watson, J., Moritz, J., &amp; Reading, C. (1999, April). School mathematics students’ acknowledgement of statistical variation</w:t>
      </w:r>
      <w:r>
        <w:rPr>
          <w:i/>
        </w:rPr>
        <w:t>.</w:t>
      </w:r>
      <w:r>
        <w:t xml:space="preserve"> In C. Maher, </w:t>
      </w:r>
      <w:r>
        <w:rPr>
          <w:i/>
        </w:rPr>
        <w:t>There</w:t>
      </w:r>
      <w:r>
        <w:t>’</w:t>
      </w:r>
      <w:r>
        <w:rPr>
          <w:i/>
        </w:rPr>
        <w:t>s More to Life than Centers.</w:t>
      </w:r>
      <w:r>
        <w:t xml:space="preserve"> Presession Research Symposium, 77th Annual National Council of Teachers of Mathematics Conference, San Francisco, CA.</w:t>
      </w:r>
    </w:p>
    <w:p w14:paraId="74E2F7CE" w14:textId="5659A6E1" w:rsidR="00E960B0" w:rsidRDefault="00F166F5">
      <w:pPr>
        <w:pStyle w:val="ReferencesBody"/>
      </w:pPr>
      <w:r>
        <w:t xml:space="preserve">Von Mises, R. (1939). </w:t>
      </w:r>
      <w:r>
        <w:rPr>
          <w:i/>
        </w:rPr>
        <w:t xml:space="preserve">Probability, statistics and truth </w:t>
      </w:r>
      <w:r>
        <w:t>(J. Neyman, D. Sholl, &amp; E. Rabinowitsch, Trans.). Macmillan (Original work published 1928).</w:t>
      </w:r>
    </w:p>
    <w:p w14:paraId="42499265" w14:textId="77777777" w:rsidR="00E960B0" w:rsidRDefault="00F166F5">
      <w:pPr>
        <w:pStyle w:val="MainAuthorNameforContact"/>
      </w:pPr>
      <w:r>
        <w:t>MAIN AUTHOR’S NAME</w:t>
      </w:r>
    </w:p>
    <w:p w14:paraId="1B821093" w14:textId="77777777" w:rsidR="00F166F5" w:rsidRDefault="00F166F5">
      <w:pPr>
        <w:pStyle w:val="MainAuthorsPostalAddress"/>
      </w:pPr>
      <w:r>
        <w:t>Main Author’s Postal Address</w:t>
      </w:r>
    </w:p>
    <w:sectPr w:rsidR="00F166F5" w:rsidSect="005F6AEF">
      <w:pgSz w:w="11899" w:h="16838" w:code="9"/>
      <w:pgMar w:top="1440" w:right="1440" w:bottom="1440" w:left="1440" w:header="851"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CF4E" w14:textId="77777777" w:rsidR="00F37EDA" w:rsidRDefault="00F37EDA" w:rsidP="00BC4086">
      <w:r>
        <w:separator/>
      </w:r>
    </w:p>
  </w:endnote>
  <w:endnote w:type="continuationSeparator" w:id="0">
    <w:p w14:paraId="5AFB31C7" w14:textId="77777777" w:rsidR="00F37EDA" w:rsidRDefault="00F37EDA" w:rsidP="00BC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B863" w14:textId="77777777" w:rsidR="00F37EDA" w:rsidRDefault="00F37EDA" w:rsidP="00BC4086">
      <w:r>
        <w:separator/>
      </w:r>
    </w:p>
  </w:footnote>
  <w:footnote w:type="continuationSeparator" w:id="0">
    <w:p w14:paraId="3EDD6672" w14:textId="77777777" w:rsidR="00F37EDA" w:rsidRDefault="00F37EDA" w:rsidP="00BC4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0FA508A"/>
    <w:lvl w:ilvl="0">
      <w:start w:val="1"/>
      <w:numFmt w:val="decimal"/>
      <w:pStyle w:val="SectionHeading"/>
      <w:lvlText w:val="%1."/>
      <w:lvlJc w:val="left"/>
      <w:pPr>
        <w:tabs>
          <w:tab w:val="num" w:pos="360"/>
        </w:tabs>
        <w:ind w:left="340" w:hanging="340"/>
      </w:pPr>
      <w:rPr>
        <w:rFonts w:hint="default"/>
      </w:rPr>
    </w:lvl>
    <w:lvl w:ilvl="1">
      <w:start w:val="1"/>
      <w:numFmt w:val="decimal"/>
      <w:pStyle w:val="SubSectionHeading"/>
      <w:lvlText w:val="%1.%2."/>
      <w:lvlJc w:val="left"/>
      <w:pPr>
        <w:tabs>
          <w:tab w:val="num" w:pos="360"/>
        </w:tabs>
        <w:ind w:left="340" w:hanging="34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1" w15:restartNumberingAfterBreak="0">
    <w:nsid w:val="08FE1F9E"/>
    <w:multiLevelType w:val="hybridMultilevel"/>
    <w:tmpl w:val="4164FB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34BD0"/>
    <w:multiLevelType w:val="multilevel"/>
    <w:tmpl w:val="2D16EBEC"/>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700"/>
        </w:tabs>
        <w:ind w:left="34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24743481">
    <w:abstractNumId w:val="0"/>
  </w:num>
  <w:num w:numId="2" w16cid:durableId="1474833285">
    <w:abstractNumId w:val="1"/>
  </w:num>
  <w:num w:numId="3" w16cid:durableId="1229729716">
    <w:abstractNumId w:val="2"/>
  </w:num>
  <w:num w:numId="4" w16cid:durableId="1218857610">
    <w:abstractNumId w:val="0"/>
  </w:num>
  <w:num w:numId="5" w16cid:durableId="1553808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30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4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CA"/>
    <w:rsid w:val="00057573"/>
    <w:rsid w:val="000749CA"/>
    <w:rsid w:val="000A5513"/>
    <w:rsid w:val="00201FF7"/>
    <w:rsid w:val="00204BA3"/>
    <w:rsid w:val="003749C0"/>
    <w:rsid w:val="003C6500"/>
    <w:rsid w:val="004130C3"/>
    <w:rsid w:val="00595479"/>
    <w:rsid w:val="005F6AEF"/>
    <w:rsid w:val="006869A6"/>
    <w:rsid w:val="007514B5"/>
    <w:rsid w:val="0082778A"/>
    <w:rsid w:val="00877127"/>
    <w:rsid w:val="008A4F68"/>
    <w:rsid w:val="00AA0939"/>
    <w:rsid w:val="00AB34AF"/>
    <w:rsid w:val="00BC4086"/>
    <w:rsid w:val="00BD45F9"/>
    <w:rsid w:val="00CC3A82"/>
    <w:rsid w:val="00D1032B"/>
    <w:rsid w:val="00D4763B"/>
    <w:rsid w:val="00DE736B"/>
    <w:rsid w:val="00DE7F83"/>
    <w:rsid w:val="00E960B0"/>
    <w:rsid w:val="00ED176C"/>
    <w:rsid w:val="00F166F5"/>
    <w:rsid w:val="00F3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F96D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noProof/>
      <w:sz w:val="22"/>
    </w:rPr>
  </w:style>
  <w:style w:type="paragraph" w:styleId="Heading1">
    <w:name w:val="heading 1"/>
    <w:basedOn w:val="Normal"/>
    <w:next w:val="Normal"/>
    <w:qFormat/>
    <w:pPr>
      <w:keepNext/>
      <w:jc w:val="center"/>
      <w:outlineLvl w:val="0"/>
    </w:pPr>
    <w:rPr>
      <w:rFonts w:ascii="Arial Narrow" w:hAnsi="Arial Narrow"/>
      <w:i/>
    </w:rPr>
  </w:style>
  <w:style w:type="paragraph" w:styleId="Heading2">
    <w:name w:val="heading 2"/>
    <w:basedOn w:val="Normal"/>
    <w:next w:val="Normal"/>
    <w:qFormat/>
    <w:pPr>
      <w:keepNext/>
      <w:jc w:val="center"/>
      <w:outlineLvl w:val="1"/>
    </w:pPr>
    <w:rPr>
      <w:rFonts w:ascii="Arial Narrow" w:hAnsi="Arial Narrow"/>
      <w:b/>
    </w:rPr>
  </w:style>
  <w:style w:type="paragraph" w:styleId="Heading3">
    <w:name w:val="heading 3"/>
    <w:basedOn w:val="Normal"/>
    <w:next w:val="Body"/>
    <w:qFormat/>
    <w:pPr>
      <w:keepNext/>
      <w:outlineLvl w:val="2"/>
    </w:pPr>
    <w:rPr>
      <w:b/>
      <w:i/>
    </w:rPr>
  </w:style>
  <w:style w:type="paragraph" w:styleId="Heading4">
    <w:name w:val="heading 4"/>
    <w:basedOn w:val="Normal"/>
    <w:next w:val="Normal"/>
    <w:qFormat/>
    <w:pPr>
      <w:keepNext/>
      <w:spacing w:before="240" w:after="60"/>
      <w:outlineLvl w:val="3"/>
    </w:pPr>
    <w:rPr>
      <w:rFonts w:ascii="Times" w:hAnsi="Times"/>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w:hAnsi="Times"/>
      <w:b/>
    </w:rPr>
  </w:style>
  <w:style w:type="paragraph" w:styleId="Heading7">
    <w:name w:val="heading 7"/>
    <w:basedOn w:val="Normal"/>
    <w:next w:val="Normal"/>
    <w:qFormat/>
    <w:pPr>
      <w:spacing w:before="240" w:after="60"/>
      <w:outlineLvl w:val="6"/>
    </w:pPr>
    <w:rPr>
      <w:rFonts w:ascii="Times" w:hAnsi="Times"/>
      <w:sz w:val="24"/>
    </w:rPr>
  </w:style>
  <w:style w:type="paragraph" w:styleId="Heading8">
    <w:name w:val="heading 8"/>
    <w:basedOn w:val="Normal"/>
    <w:next w:val="Normal"/>
    <w:qFormat/>
    <w:pPr>
      <w:spacing w:before="240" w:after="60"/>
      <w:outlineLvl w:val="7"/>
    </w:pPr>
    <w:rPr>
      <w:rFonts w:ascii="Times" w:hAnsi="Times"/>
      <w:i/>
      <w:sz w:val="24"/>
    </w:rPr>
  </w:style>
  <w:style w:type="paragraph" w:styleId="Heading9">
    <w:name w:val="heading 9"/>
    <w:basedOn w:val="Normal"/>
    <w:next w:val="Normal"/>
    <w:qFormat/>
    <w:pPr>
      <w:spacing w:before="240" w:after="60"/>
      <w:outlineLvl w:val="8"/>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ind w:firstLine="340"/>
    </w:pPr>
  </w:style>
  <w:style w:type="paragraph" w:customStyle="1" w:styleId="LongQuote">
    <w:name w:val=".Long Quote"/>
    <w:basedOn w:val="Body"/>
    <w:pPr>
      <w:ind w:left="340" w:firstLine="0"/>
    </w:pPr>
  </w:style>
  <w:style w:type="paragraph" w:customStyle="1" w:styleId="ArticleTitle">
    <w:name w:val=".Article Title"/>
    <w:basedOn w:val="Normal"/>
    <w:pPr>
      <w:jc w:val="center"/>
    </w:pPr>
    <w:rPr>
      <w:b/>
      <w:caps/>
      <w:sz w:val="28"/>
    </w:rPr>
  </w:style>
  <w:style w:type="paragraph" w:customStyle="1" w:styleId="AuthorName">
    <w:name w:val=".Author Name"/>
    <w:basedOn w:val="Normal"/>
    <w:pPr>
      <w:jc w:val="center"/>
    </w:pPr>
    <w:rPr>
      <w:caps/>
    </w:rPr>
  </w:style>
  <w:style w:type="paragraph" w:customStyle="1" w:styleId="AuthorAffiliation">
    <w:name w:val=".Author Affiliation"/>
    <w:basedOn w:val="Normal"/>
    <w:pPr>
      <w:jc w:val="center"/>
    </w:pPr>
    <w:rPr>
      <w:i/>
    </w:rPr>
  </w:style>
  <w:style w:type="paragraph" w:customStyle="1" w:styleId="AbstractTitle">
    <w:name w:val=".Abstract Title"/>
    <w:basedOn w:val="Normal"/>
    <w:next w:val="Body"/>
    <w:pPr>
      <w:jc w:val="center"/>
    </w:pPr>
    <w:rPr>
      <w:b/>
      <w:caps/>
    </w:rPr>
  </w:style>
  <w:style w:type="paragraph" w:customStyle="1" w:styleId="SectionHeading">
    <w:name w:val=".Section Heading"/>
    <w:basedOn w:val="Normal"/>
    <w:next w:val="Body"/>
    <w:pPr>
      <w:numPr>
        <w:numId w:val="6"/>
      </w:numPr>
      <w:jc w:val="center"/>
    </w:pPr>
    <w:rPr>
      <w:b/>
      <w:caps/>
    </w:rPr>
  </w:style>
  <w:style w:type="paragraph" w:customStyle="1" w:styleId="SubSectionHeading">
    <w:name w:val=".SubSection Heading"/>
    <w:basedOn w:val="SectionHeading"/>
    <w:next w:val="Body"/>
    <w:pPr>
      <w:numPr>
        <w:ilvl w:val="1"/>
      </w:numPr>
      <w:jc w:val="both"/>
    </w:pPr>
  </w:style>
  <w:style w:type="paragraph" w:customStyle="1" w:styleId="TableFigureBody">
    <w:name w:val=".Table/Figure Body"/>
    <w:basedOn w:val="Normal"/>
    <w:rPr>
      <w:sz w:val="20"/>
    </w:rPr>
  </w:style>
  <w:style w:type="paragraph" w:customStyle="1" w:styleId="AcknowlegementTitle">
    <w:name w:val=".Acknowlegement Title"/>
    <w:basedOn w:val="Normal"/>
    <w:next w:val="Body"/>
    <w:pPr>
      <w:jc w:val="center"/>
    </w:pPr>
    <w:rPr>
      <w:b/>
      <w:caps/>
    </w:rPr>
  </w:style>
  <w:style w:type="paragraph" w:customStyle="1" w:styleId="ReferencesTitle">
    <w:name w:val=".References Title"/>
    <w:basedOn w:val="Normal"/>
    <w:next w:val="Body"/>
    <w:pPr>
      <w:jc w:val="center"/>
    </w:pPr>
    <w:rPr>
      <w:b/>
      <w:caps/>
    </w:rPr>
  </w:style>
  <w:style w:type="paragraph" w:customStyle="1" w:styleId="ReferencesBody">
    <w:name w:val=".References Body"/>
    <w:basedOn w:val="Normal"/>
    <w:next w:val="Body"/>
    <w:pPr>
      <w:ind w:left="340" w:hanging="340"/>
    </w:pPr>
  </w:style>
  <w:style w:type="paragraph" w:customStyle="1" w:styleId="SubsubSectionHeading">
    <w:name w:val=".SubsubSection Heading"/>
    <w:basedOn w:val="Normal"/>
    <w:next w:val="Body"/>
    <w:rPr>
      <w:b/>
      <w:i/>
    </w:rPr>
  </w:style>
  <w:style w:type="paragraph" w:customStyle="1" w:styleId="AuthorEmail">
    <w:name w:val=".Author Email"/>
    <w:basedOn w:val="AuthorAffiliation"/>
  </w:style>
  <w:style w:type="paragraph" w:customStyle="1" w:styleId="MainAuthorNameforContact">
    <w:name w:val=".Main Author Name for Contact"/>
    <w:basedOn w:val="Normal"/>
    <w:pPr>
      <w:jc w:val="right"/>
    </w:pPr>
    <w:rPr>
      <w:caps/>
    </w:rPr>
  </w:style>
  <w:style w:type="paragraph" w:customStyle="1" w:styleId="MainAuthorsPostalAddress">
    <w:name w:val=".Main Author's Postal Address"/>
    <w:basedOn w:val="Normal"/>
    <w:pPr>
      <w:jc w:val="right"/>
    </w:pPr>
  </w:style>
  <w:style w:type="paragraph" w:customStyle="1" w:styleId="KeywordsTitle">
    <w:name w:val=".Keywords Title"/>
    <w:basedOn w:val="Normal"/>
    <w:next w:val="Body"/>
    <w:pPr>
      <w:ind w:left="1304" w:hanging="964"/>
    </w:pPr>
    <w:rPr>
      <w:b/>
      <w:i/>
    </w:rPr>
  </w:style>
  <w:style w:type="paragraph" w:customStyle="1" w:styleId="AbstractBody">
    <w:name w:val=".Abstract Body"/>
    <w:basedOn w:val="Body"/>
    <w:pPr>
      <w:ind w:left="340"/>
    </w:pPr>
    <w:rPr>
      <w:i/>
    </w:rPr>
  </w:style>
  <w:style w:type="paragraph" w:customStyle="1" w:styleId="KeywordBody">
    <w:name w:val=".Keyword Body"/>
    <w:basedOn w:val="Normal"/>
    <w:pPr>
      <w:ind w:left="964" w:hanging="964"/>
    </w:pPr>
    <w:rPr>
      <w:i/>
    </w:rPr>
  </w:style>
  <w:style w:type="paragraph" w:customStyle="1" w:styleId="TableFigureHeading">
    <w:name w:val=".Table/Figure Heading"/>
    <w:basedOn w:val="Normal"/>
    <w:pPr>
      <w:jc w:val="center"/>
    </w:pPr>
    <w:rPr>
      <w:i/>
    </w:rPr>
  </w:style>
  <w:style w:type="paragraph" w:styleId="BlockText">
    <w:name w:val="Block Text"/>
    <w:basedOn w:val="Normal"/>
    <w:pPr>
      <w:spacing w:after="120"/>
      <w:ind w:left="1440" w:right="1440"/>
    </w:pPr>
  </w:style>
  <w:style w:type="paragraph" w:styleId="Header">
    <w:name w:val="header"/>
    <w:basedOn w:val="Normal"/>
    <w:link w:val="HeaderChar"/>
    <w:uiPriority w:val="99"/>
    <w:unhideWhenUsed/>
    <w:rsid w:val="00BC4086"/>
    <w:pPr>
      <w:tabs>
        <w:tab w:val="center" w:pos="4680"/>
        <w:tab w:val="right" w:pos="9360"/>
      </w:tabs>
    </w:pPr>
  </w:style>
  <w:style w:type="character" w:customStyle="1" w:styleId="HeaderChar">
    <w:name w:val="Header Char"/>
    <w:link w:val="Header"/>
    <w:uiPriority w:val="99"/>
    <w:rsid w:val="00BC4086"/>
    <w:rPr>
      <w:rFonts w:ascii="Times New Roman" w:hAnsi="Times New Roman"/>
      <w:noProof/>
      <w:sz w:val="22"/>
    </w:rPr>
  </w:style>
  <w:style w:type="paragraph" w:styleId="Footer">
    <w:name w:val="footer"/>
    <w:basedOn w:val="Normal"/>
    <w:link w:val="FooterChar"/>
    <w:uiPriority w:val="99"/>
    <w:unhideWhenUsed/>
    <w:rsid w:val="00BC4086"/>
    <w:pPr>
      <w:tabs>
        <w:tab w:val="center" w:pos="4680"/>
        <w:tab w:val="right" w:pos="9360"/>
      </w:tabs>
    </w:pPr>
  </w:style>
  <w:style w:type="character" w:customStyle="1" w:styleId="FooterChar">
    <w:name w:val="Footer Char"/>
    <w:link w:val="Footer"/>
    <w:uiPriority w:val="99"/>
    <w:rsid w:val="00BC4086"/>
    <w:rPr>
      <w:rFonts w:ascii="Times New Roman" w:hAnsi="Times New Roman"/>
      <w:noProof/>
      <w:sz w:val="22"/>
    </w:rPr>
  </w:style>
  <w:style w:type="paragraph" w:styleId="BalloonText">
    <w:name w:val="Balloon Text"/>
    <w:basedOn w:val="Normal"/>
    <w:link w:val="BalloonTextChar"/>
    <w:uiPriority w:val="99"/>
    <w:semiHidden/>
    <w:unhideWhenUsed/>
    <w:rsid w:val="00DE7F83"/>
    <w:rPr>
      <w:rFonts w:ascii="Segoe UI" w:hAnsi="Segoe UI" w:cs="Segoe UI"/>
      <w:sz w:val="18"/>
      <w:szCs w:val="18"/>
    </w:rPr>
  </w:style>
  <w:style w:type="character" w:customStyle="1" w:styleId="BalloonTextChar">
    <w:name w:val="Balloon Text Char"/>
    <w:link w:val="BalloonText"/>
    <w:uiPriority w:val="99"/>
    <w:semiHidden/>
    <w:rsid w:val="00DE7F83"/>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2414</Words>
  <Characters>13765</Characters>
  <Application>Microsoft Office Word</Application>
  <DocSecurity>0</DocSecurity>
  <Lines>114</Lines>
  <Paragraphs>32</Paragraphs>
  <ScaleCrop>false</ScaleCrop>
  <Manager/>
  <Company/>
  <LinksUpToDate>false</LinksUpToDate>
  <CharactersWithSpaces>16147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2022-10-21T03:09:00Z</dcterms:created>
  <dcterms:modified xsi:type="dcterms:W3CDTF">2022-10-21T13:00:00Z</dcterms:modified>
  <cp:category/>
</cp:coreProperties>
</file>